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B42A2A">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42A2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4C760A">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保修期内保修范围包括合同中所有配置。并确保设备保修期内开机率≥95%，如设备故障停机率超过5%（一年按365天计算，每年18天），每超过一天，保修期延长两周。保修期外乙方对本设备终身负责维修。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7B7434">
        <w:rPr>
          <w:rFonts w:ascii="仿宋" w:eastAsia="仿宋" w:hAnsi="仿宋" w:hint="eastAsia"/>
          <w:sz w:val="24"/>
          <w:szCs w:val="24"/>
        </w:rPr>
        <w:t>在维修过程中与甲方工程师共同完成维修工作，</w:t>
      </w:r>
      <w:r w:rsidR="00B0149C" w:rsidRPr="00E714C9">
        <w:rPr>
          <w:rFonts w:ascii="仿宋" w:eastAsia="仿宋" w:hAnsi="仿宋" w:hint="eastAsia"/>
          <w:sz w:val="24"/>
          <w:szCs w:val="24"/>
        </w:rPr>
        <w:t>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B42A2A" w:rsidRDefault="00091ED6" w:rsidP="00B42A2A">
      <w:pPr>
        <w:shd w:val="clear" w:color="auto" w:fill="FFFFFF"/>
        <w:spacing w:line="360" w:lineRule="atLeast"/>
        <w:rPr>
          <w:rFonts w:ascii="宋体" w:hint="eastAsia"/>
          <w:sz w:val="24"/>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r w:rsidR="00B42A2A">
        <w:rPr>
          <w:rFonts w:ascii="宋体" w:hint="eastAsia"/>
          <w:sz w:val="24"/>
          <w:u w:val="single"/>
        </w:rPr>
        <w:lastRenderedPageBreak/>
        <w:t xml:space="preserve"> </w:t>
      </w:r>
    </w:p>
    <w:p w:rsidR="00E2320F" w:rsidRPr="00A52224" w:rsidRDefault="00E2320F" w:rsidP="00A52224">
      <w:pPr>
        <w:jc w:val="center"/>
        <w:rPr>
          <w:rFonts w:ascii="仿宋" w:eastAsia="仿宋" w:hAnsi="仿宋" w:cs="仿宋"/>
          <w:b/>
          <w:bCs/>
          <w:sz w:val="32"/>
          <w:szCs w:val="32"/>
        </w:rPr>
      </w:pP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清廉投标承诺书</w:t>
      </w:r>
    </w:p>
    <w:p w:rsidR="00E2320F" w:rsidRDefault="00E2320F">
      <w:pPr>
        <w:spacing w:line="400" w:lineRule="exact"/>
        <w:rPr>
          <w:rFonts w:ascii="仿宋_GB2312" w:eastAsia="仿宋_GB2312"/>
          <w:sz w:val="32"/>
          <w:szCs w:val="32"/>
        </w:rPr>
      </w:pPr>
    </w:p>
    <w:p w:rsidR="00E2320F" w:rsidRDefault="00B42A2A">
      <w:pPr>
        <w:spacing w:line="520" w:lineRule="exact"/>
        <w:rPr>
          <w:rFonts w:ascii="仿宋" w:eastAsia="仿宋" w:hAnsi="仿宋" w:cs="仿宋"/>
          <w:sz w:val="30"/>
          <w:szCs w:val="30"/>
        </w:rPr>
      </w:pPr>
      <w:r>
        <w:rPr>
          <w:rFonts w:ascii="仿宋" w:eastAsia="仿宋" w:hAnsi="仿宋" w:cs="仿宋" w:hint="eastAsia"/>
          <w:sz w:val="30"/>
          <w:szCs w:val="30"/>
        </w:rPr>
        <w:t>全椒县人民</w:t>
      </w:r>
      <w:r w:rsidR="00E01963">
        <w:rPr>
          <w:rFonts w:ascii="仿宋" w:eastAsia="仿宋" w:hAnsi="仿宋" w:cs="仿宋" w:hint="eastAsia"/>
          <w:sz w:val="30"/>
          <w:szCs w:val="30"/>
        </w:rPr>
        <w:t>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491" w:rsidRDefault="00D55491" w:rsidP="006145D5">
      <w:r>
        <w:separator/>
      </w:r>
    </w:p>
  </w:endnote>
  <w:endnote w:type="continuationSeparator" w:id="0">
    <w:p w:rsidR="00D55491" w:rsidRDefault="00D55491"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491" w:rsidRDefault="00D55491" w:rsidP="006145D5">
      <w:r>
        <w:separator/>
      </w:r>
    </w:p>
  </w:footnote>
  <w:footnote w:type="continuationSeparator" w:id="0">
    <w:p w:rsidR="00D55491" w:rsidRDefault="00D55491"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A98A954"/>
    <w:multiLevelType w:val="singleLevel"/>
    <w:tmpl w:val="5A98A954"/>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21A9"/>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D53FF"/>
    <w:rsid w:val="00AE6DAE"/>
    <w:rsid w:val="00AF3427"/>
    <w:rsid w:val="00B0149C"/>
    <w:rsid w:val="00B07B7F"/>
    <w:rsid w:val="00B07C89"/>
    <w:rsid w:val="00B42A2A"/>
    <w:rsid w:val="00B65CBB"/>
    <w:rsid w:val="00B90B7E"/>
    <w:rsid w:val="00BA0ACA"/>
    <w:rsid w:val="00BC5DBB"/>
    <w:rsid w:val="00C00C5B"/>
    <w:rsid w:val="00C02C4D"/>
    <w:rsid w:val="00C4060A"/>
    <w:rsid w:val="00C6381F"/>
    <w:rsid w:val="00CA5207"/>
    <w:rsid w:val="00CA78D5"/>
    <w:rsid w:val="00D13893"/>
    <w:rsid w:val="00D1600A"/>
    <w:rsid w:val="00D55491"/>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140</TotalTime>
  <Pages>9</Pages>
  <Words>435</Words>
  <Characters>2482</Characters>
  <Application>Microsoft Office Word</Application>
  <DocSecurity>0</DocSecurity>
  <Lines>20</Lines>
  <Paragraphs>5</Paragraphs>
  <ScaleCrop>false</ScaleCrop>
  <Company>Microsoft</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NTKO</cp:lastModifiedBy>
  <cp:revision>84</cp:revision>
  <dcterms:created xsi:type="dcterms:W3CDTF">2018-06-05T01:01:00Z</dcterms:created>
  <dcterms:modified xsi:type="dcterms:W3CDTF">2019-06-24T07:31:00Z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